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AB817" w14:textId="3A555F1A" w:rsidR="009B6FFE" w:rsidRDefault="00373D0B" w:rsidP="00373D0B">
      <w:pPr>
        <w:jc w:val="center"/>
        <w:rPr>
          <w:rFonts w:ascii="Century Gothic" w:hAnsi="Century Gothic"/>
          <w:b/>
          <w:sz w:val="32"/>
          <w:u w:val="single"/>
          <w:lang w:val="en-CA"/>
        </w:rPr>
      </w:pPr>
      <w:r>
        <w:rPr>
          <w:rFonts w:ascii="Century Gothic" w:hAnsi="Century Gothic"/>
          <w:b/>
          <w:sz w:val="32"/>
          <w:u w:val="single"/>
          <w:lang w:val="en-CA"/>
        </w:rPr>
        <w:t>World War One Test Review</w:t>
      </w:r>
    </w:p>
    <w:p w14:paraId="782E498D" w14:textId="2AAF2225" w:rsidR="00B44D47" w:rsidRPr="00B44D47" w:rsidRDefault="00B44D47" w:rsidP="00B44D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b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>Topics to Review</w:t>
      </w:r>
    </w:p>
    <w:p w14:paraId="6CB09C4D" w14:textId="77777777" w:rsidR="00B44D47" w:rsidRDefault="00B44D47" w:rsidP="00373D0B">
      <w:pPr>
        <w:rPr>
          <w:rFonts w:ascii="Century Gothic" w:hAnsi="Century Gothic"/>
          <w:sz w:val="28"/>
          <w:lang w:val="en-CA"/>
        </w:rPr>
        <w:sectPr w:rsidR="00B44D47" w:rsidSect="003815F1">
          <w:headerReference w:type="default" r:id="rId7"/>
          <w:type w:val="continuous"/>
          <w:pgSz w:w="11906" w:h="16838" w:code="9"/>
          <w:pgMar w:top="1440" w:right="900" w:bottom="1276" w:left="993" w:header="709" w:footer="709" w:gutter="0"/>
          <w:cols w:space="708"/>
          <w:docGrid w:linePitch="360"/>
        </w:sectPr>
      </w:pPr>
    </w:p>
    <w:p w14:paraId="658D16D2" w14:textId="5754D65D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Congress of Vienna</w:t>
      </w:r>
    </w:p>
    <w:p w14:paraId="62540AD6" w14:textId="2AD8ACD6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Balance of power</w:t>
      </w:r>
    </w:p>
    <w:p w14:paraId="556B5CB7" w14:textId="5A2FE3D7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Nationalism</w:t>
      </w:r>
    </w:p>
    <w:p w14:paraId="2FAF05EF" w14:textId="13A6C466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German Unification</w:t>
      </w:r>
    </w:p>
    <w:p w14:paraId="1E381CBA" w14:textId="2BF0B5E5" w:rsidR="00EC045E" w:rsidRDefault="00EC045E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Multiculturalism in Austria-Hungary</w:t>
      </w:r>
    </w:p>
    <w:p w14:paraId="4C7ECC8F" w14:textId="1728F371" w:rsidR="00EC045E" w:rsidRDefault="00EC045E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Slavic Nationalism</w:t>
      </w:r>
    </w:p>
    <w:p w14:paraId="1E4AECD9" w14:textId="3937C905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State</w:t>
      </w:r>
    </w:p>
    <w:p w14:paraId="61F25249" w14:textId="06FC2F1A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Nation state</w:t>
      </w:r>
    </w:p>
    <w:p w14:paraId="13A7A016" w14:textId="2E00A794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Franco-Prussian War</w:t>
      </w:r>
    </w:p>
    <w:p w14:paraId="6A29A1D2" w14:textId="154CD380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Revanchism</w:t>
      </w:r>
    </w:p>
    <w:p w14:paraId="0E59DE0A" w14:textId="40692975" w:rsidR="00373D0B" w:rsidRDefault="00373D0B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Imperialism</w:t>
      </w:r>
    </w:p>
    <w:p w14:paraId="1D6842C6" w14:textId="31C642D9" w:rsidR="00CC2322" w:rsidRDefault="00B06343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July Ultimatum</w:t>
      </w:r>
    </w:p>
    <w:p w14:paraId="7EAD50AC" w14:textId="495CD87A" w:rsidR="00CC2322" w:rsidRDefault="00CC2322" w:rsidP="00373D0B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Weltpolitik</w:t>
      </w:r>
    </w:p>
    <w:p w14:paraId="09E996F1" w14:textId="670861F6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Kaiser Wilhelm II</w:t>
      </w:r>
    </w:p>
    <w:p w14:paraId="47A2FB53" w14:textId="7507B959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Scramble for Africa</w:t>
      </w:r>
    </w:p>
    <w:p w14:paraId="154E03A0" w14:textId="03664FBB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Colony</w:t>
      </w:r>
    </w:p>
    <w:p w14:paraId="070D6692" w14:textId="30289DAE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Militarism</w:t>
      </w:r>
    </w:p>
    <w:p w14:paraId="2135E066" w14:textId="5E7C1DD8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Conscription</w:t>
      </w:r>
    </w:p>
    <w:p w14:paraId="2595B898" w14:textId="2083EF6A" w:rsidR="00CC2322" w:rsidRDefault="00CC2322" w:rsidP="00373D0B">
      <w:p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HMS </w:t>
      </w:r>
      <w:r>
        <w:rPr>
          <w:rFonts w:ascii="Century Gothic" w:hAnsi="Century Gothic"/>
          <w:i/>
          <w:sz w:val="28"/>
          <w:lang w:val="en-CA"/>
        </w:rPr>
        <w:t>Dreadnought</w:t>
      </w:r>
    </w:p>
    <w:p w14:paraId="00848BAE" w14:textId="665EA44B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Naval Arms Race</w:t>
      </w:r>
    </w:p>
    <w:p w14:paraId="57D1C0AA" w14:textId="416F34B9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Alliances</w:t>
      </w:r>
    </w:p>
    <w:p w14:paraId="62467279" w14:textId="2AE04FCD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Triple Entente</w:t>
      </w:r>
    </w:p>
    <w:p w14:paraId="7A6243A9" w14:textId="6FA1B87C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Triple Alliance</w:t>
      </w:r>
    </w:p>
    <w:p w14:paraId="2A2F6442" w14:textId="58279343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Treaty of London</w:t>
      </w:r>
    </w:p>
    <w:p w14:paraId="0149457D" w14:textId="5A91D889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Franz Ferdinand</w:t>
      </w:r>
    </w:p>
    <w:p w14:paraId="282CDD48" w14:textId="1BEDB7B7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Mobilization</w:t>
      </w:r>
    </w:p>
    <w:p w14:paraId="09ADB855" w14:textId="1DFF451E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July Crisis</w:t>
      </w:r>
    </w:p>
    <w:p w14:paraId="650B51E9" w14:textId="3917E280" w:rsidR="00B06343" w:rsidRDefault="00B06343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Schlieffen Plan</w:t>
      </w:r>
    </w:p>
    <w:p w14:paraId="15703EA0" w14:textId="56596CDD" w:rsidR="00CC2322" w:rsidRDefault="00CC2322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German War Guilt</w:t>
      </w:r>
    </w:p>
    <w:p w14:paraId="3FB23865" w14:textId="6E219A24" w:rsidR="00920DBA" w:rsidRDefault="00920DBA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Treaty of Versailles</w:t>
      </w:r>
    </w:p>
    <w:p w14:paraId="34DA5379" w14:textId="52AD1DB4" w:rsidR="00920DBA" w:rsidRDefault="00920DBA" w:rsidP="00B44D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b/>
          <w:sz w:val="28"/>
          <w:lang w:val="en-CA"/>
        </w:rPr>
        <w:sectPr w:rsidR="00920DBA" w:rsidSect="00B44D47">
          <w:type w:val="continuous"/>
          <w:pgSz w:w="11906" w:h="16838" w:code="9"/>
          <w:pgMar w:top="1440" w:right="900" w:bottom="1276" w:left="993" w:header="709" w:footer="709" w:gutter="0"/>
          <w:cols w:num="3" w:space="708"/>
          <w:docGrid w:linePitch="360"/>
        </w:sectPr>
      </w:pPr>
    </w:p>
    <w:p w14:paraId="471C9FBB" w14:textId="4E69331A" w:rsidR="00CC2322" w:rsidRDefault="005D627F" w:rsidP="00B44D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b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>Test Format</w:t>
      </w:r>
    </w:p>
    <w:p w14:paraId="512436F3" w14:textId="5EFEEC3B" w:rsidR="00B44D47" w:rsidRPr="00B44D47" w:rsidRDefault="005D627F" w:rsidP="00373D0B">
      <w:pPr>
        <w:rPr>
          <w:rFonts w:ascii="Century Gothic" w:hAnsi="Century Gothic"/>
          <w:b/>
          <w:sz w:val="28"/>
          <w:lang w:val="en-CA"/>
        </w:rPr>
      </w:pPr>
      <w:r w:rsidRPr="00B44D47">
        <w:rPr>
          <w:rFonts w:ascii="Century Gothic" w:hAnsi="Century Gothic"/>
          <w:b/>
          <w:sz w:val="28"/>
          <w:lang w:val="en-CA"/>
        </w:rPr>
        <w:t>Section A: Short Answer</w:t>
      </w:r>
      <w:r w:rsidR="00B44D47">
        <w:rPr>
          <w:rFonts w:ascii="Century Gothic" w:hAnsi="Century Gothic"/>
          <w:b/>
          <w:sz w:val="28"/>
          <w:lang w:val="en-CA"/>
        </w:rPr>
        <w:t xml:space="preserve"> (3-4 short knowledge-based questions)</w:t>
      </w:r>
    </w:p>
    <w:p w14:paraId="28C83564" w14:textId="17100488" w:rsidR="00B44D47" w:rsidRDefault="00B44D47" w:rsidP="00B44D47">
      <w:pPr>
        <w:ind w:left="360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Objective A: Knowing and Understanding</w:t>
      </w:r>
    </w:p>
    <w:p w14:paraId="5C8AA4E7" w14:textId="0AC0858D" w:rsidR="00B44D47" w:rsidRPr="00B44D47" w:rsidRDefault="00B44D47" w:rsidP="00B44D47">
      <w:pPr>
        <w:pStyle w:val="ListParagraph"/>
        <w:numPr>
          <w:ilvl w:val="0"/>
          <w:numId w:val="1"/>
        </w:numPr>
        <w:ind w:left="1440"/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Use a range of terminology in context</w:t>
      </w:r>
      <w:r>
        <w:rPr>
          <w:rFonts w:ascii="Century Gothic" w:hAnsi="Century Gothic"/>
          <w:sz w:val="28"/>
          <w:lang w:val="en-CA"/>
        </w:rPr>
        <w:t>.</w:t>
      </w:r>
    </w:p>
    <w:p w14:paraId="16D035D0" w14:textId="5792F3A9" w:rsidR="00B44D47" w:rsidRPr="00B44D47" w:rsidRDefault="00B44D47" w:rsidP="00B44D47">
      <w:pPr>
        <w:pStyle w:val="ListParagraph"/>
        <w:numPr>
          <w:ilvl w:val="0"/>
          <w:numId w:val="1"/>
        </w:numPr>
        <w:ind w:left="1440"/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Demonstrate knowledge and understanding of content and concept using developed descriptions, explanations and examples.</w:t>
      </w:r>
    </w:p>
    <w:p w14:paraId="19BF785C" w14:textId="343A9C27" w:rsidR="005D627F" w:rsidRPr="00B44D47" w:rsidRDefault="005D627F" w:rsidP="00373D0B">
      <w:pPr>
        <w:rPr>
          <w:rFonts w:ascii="Century Gothic" w:hAnsi="Century Gothic"/>
          <w:b/>
          <w:sz w:val="28"/>
          <w:lang w:val="en-CA"/>
        </w:rPr>
      </w:pPr>
      <w:r w:rsidRPr="00B44D47">
        <w:rPr>
          <w:rFonts w:ascii="Century Gothic" w:hAnsi="Century Gothic"/>
          <w:b/>
          <w:sz w:val="28"/>
          <w:lang w:val="en-CA"/>
        </w:rPr>
        <w:t>Section B: Source Analysis</w:t>
      </w:r>
      <w:r w:rsidR="00B44D47">
        <w:rPr>
          <w:rFonts w:ascii="Century Gothic" w:hAnsi="Century Gothic"/>
          <w:b/>
          <w:sz w:val="28"/>
          <w:lang w:val="en-CA"/>
        </w:rPr>
        <w:t xml:space="preserve"> (choose 2 primary sources to interpret)</w:t>
      </w:r>
    </w:p>
    <w:p w14:paraId="7F86A751" w14:textId="67B2CB14" w:rsidR="00B44D47" w:rsidRDefault="00B44D47" w:rsidP="00B44D47">
      <w:pPr>
        <w:ind w:left="360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Objective D: Thinking Critically</w:t>
      </w:r>
    </w:p>
    <w:p w14:paraId="5125A2E5" w14:textId="50CAA292" w:rsidR="00B44D47" w:rsidRPr="00B44D47" w:rsidRDefault="00B44D47" w:rsidP="00B44D47">
      <w:pPr>
        <w:pStyle w:val="ListParagraph"/>
        <w:numPr>
          <w:ilvl w:val="0"/>
          <w:numId w:val="1"/>
        </w:numPr>
        <w:ind w:left="1440"/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 xml:space="preserve">Interpret a range of </w:t>
      </w:r>
      <w:r>
        <w:rPr>
          <w:rFonts w:ascii="Century Gothic" w:hAnsi="Century Gothic"/>
          <w:b/>
          <w:i/>
          <w:sz w:val="28"/>
          <w:lang w:val="en-CA"/>
        </w:rPr>
        <w:t xml:space="preserve">historical </w:t>
      </w:r>
      <w:r>
        <w:rPr>
          <w:rFonts w:ascii="Century Gothic" w:hAnsi="Century Gothic"/>
          <w:i/>
          <w:sz w:val="28"/>
          <w:lang w:val="en-CA"/>
        </w:rPr>
        <w:t>perspectives and their implications</w:t>
      </w:r>
      <w:r>
        <w:rPr>
          <w:rFonts w:ascii="Century Gothic" w:hAnsi="Century Gothic"/>
          <w:sz w:val="28"/>
          <w:lang w:val="en-CA"/>
        </w:rPr>
        <w:t>.</w:t>
      </w:r>
    </w:p>
    <w:p w14:paraId="4D094B00" w14:textId="791F5CA6" w:rsidR="00B44D47" w:rsidRPr="00B44D47" w:rsidRDefault="00B44D47" w:rsidP="00373D0B">
      <w:pPr>
        <w:rPr>
          <w:rFonts w:ascii="Century Gothic" w:hAnsi="Century Gothic"/>
          <w:b/>
          <w:sz w:val="28"/>
          <w:lang w:val="en-CA"/>
        </w:rPr>
      </w:pPr>
      <w:r w:rsidRPr="00B44D47">
        <w:rPr>
          <w:rFonts w:ascii="Century Gothic" w:hAnsi="Century Gothic"/>
          <w:b/>
          <w:sz w:val="28"/>
          <w:lang w:val="en-CA"/>
        </w:rPr>
        <w:t>Section C: Discussion Question</w:t>
      </w:r>
      <w:r>
        <w:rPr>
          <w:rFonts w:ascii="Century Gothic" w:hAnsi="Century Gothic"/>
          <w:b/>
          <w:sz w:val="28"/>
          <w:lang w:val="en-CA"/>
        </w:rPr>
        <w:t xml:space="preserve"> (answer the question by considering both answers and supporting your own conclusion with evidence).</w:t>
      </w:r>
    </w:p>
    <w:p w14:paraId="4962DE6E" w14:textId="302F5D13" w:rsidR="00B44D47" w:rsidRDefault="00B44D47" w:rsidP="00373D0B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Objective D: Thinking Critically</w:t>
      </w:r>
    </w:p>
    <w:p w14:paraId="5F0DBF0C" w14:textId="0540FEFA" w:rsidR="009B6FFE" w:rsidRPr="00B06343" w:rsidRDefault="00B44D47" w:rsidP="00373D0B">
      <w:pPr>
        <w:pStyle w:val="ListParagraph"/>
        <w:numPr>
          <w:ilvl w:val="0"/>
          <w:numId w:val="2"/>
        </w:numPr>
        <w:rPr>
          <w:rFonts w:ascii="Century Gothic" w:hAnsi="Century Gothic"/>
          <w:i/>
          <w:sz w:val="28"/>
          <w:lang w:val="en-CA"/>
        </w:rPr>
      </w:pPr>
      <w:r>
        <w:rPr>
          <w:rFonts w:ascii="Century Gothic" w:hAnsi="Century Gothic"/>
          <w:i/>
          <w:sz w:val="28"/>
          <w:lang w:val="en-CA"/>
        </w:rPr>
        <w:t>Discuss the causes of, or responsibility for, WWI.</w:t>
      </w:r>
      <w:bookmarkStart w:id="0" w:name="_GoBack"/>
      <w:bookmarkEnd w:id="0"/>
    </w:p>
    <w:sectPr w:rsidR="009B6FFE" w:rsidRPr="00B06343" w:rsidSect="003815F1"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A22DA" w14:textId="77777777" w:rsidR="009B6FFE" w:rsidRDefault="009B6FFE" w:rsidP="00373D0B">
      <w:pPr>
        <w:spacing w:after="0" w:line="240" w:lineRule="auto"/>
      </w:pPr>
      <w:r>
        <w:separator/>
      </w:r>
    </w:p>
  </w:endnote>
  <w:endnote w:type="continuationSeparator" w:id="0">
    <w:p w14:paraId="109C33CB" w14:textId="77777777" w:rsidR="009B6FFE" w:rsidRDefault="009B6FFE" w:rsidP="00373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F465F" w14:textId="77777777" w:rsidR="009B6FFE" w:rsidRDefault="009B6FFE" w:rsidP="00373D0B">
      <w:pPr>
        <w:spacing w:after="0" w:line="240" w:lineRule="auto"/>
      </w:pPr>
      <w:r>
        <w:separator/>
      </w:r>
    </w:p>
  </w:footnote>
  <w:footnote w:type="continuationSeparator" w:id="0">
    <w:p w14:paraId="154545AF" w14:textId="77777777" w:rsidR="009B6FFE" w:rsidRDefault="009B6FFE" w:rsidP="00373D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BE0C72" w14:textId="602EB680" w:rsidR="009B6FFE" w:rsidRPr="00373D0B" w:rsidRDefault="009B6FFE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B673D4"/>
    <w:multiLevelType w:val="hybridMultilevel"/>
    <w:tmpl w:val="9C362CCC"/>
    <w:lvl w:ilvl="0" w:tplc="AC303C1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2926D9"/>
    <w:multiLevelType w:val="hybridMultilevel"/>
    <w:tmpl w:val="01627C34"/>
    <w:lvl w:ilvl="0" w:tplc="BCDCC81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D0B"/>
    <w:rsid w:val="00373D0B"/>
    <w:rsid w:val="003815F1"/>
    <w:rsid w:val="003E7835"/>
    <w:rsid w:val="004F0D97"/>
    <w:rsid w:val="005D627F"/>
    <w:rsid w:val="00920DBA"/>
    <w:rsid w:val="009B6FFE"/>
    <w:rsid w:val="00A06D99"/>
    <w:rsid w:val="00AB7133"/>
    <w:rsid w:val="00B06343"/>
    <w:rsid w:val="00B44D47"/>
    <w:rsid w:val="00CC2322"/>
    <w:rsid w:val="00EC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E48C3"/>
  <w15:chartTrackingRefBased/>
  <w15:docId w15:val="{E8F32652-9084-48DC-A14A-DD8AAD14E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3D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3D0B"/>
  </w:style>
  <w:style w:type="paragraph" w:styleId="Footer">
    <w:name w:val="footer"/>
    <w:basedOn w:val="Normal"/>
    <w:link w:val="FooterChar"/>
    <w:uiPriority w:val="99"/>
    <w:unhideWhenUsed/>
    <w:rsid w:val="00373D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3D0B"/>
  </w:style>
  <w:style w:type="paragraph" w:styleId="ListParagraph">
    <w:name w:val="List Paragraph"/>
    <w:basedOn w:val="Normal"/>
    <w:uiPriority w:val="34"/>
    <w:qFormat/>
    <w:rsid w:val="00B44D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7</cp:revision>
  <dcterms:created xsi:type="dcterms:W3CDTF">2019-03-21T05:12:00Z</dcterms:created>
  <dcterms:modified xsi:type="dcterms:W3CDTF">2021-03-15T02:26:00Z</dcterms:modified>
</cp:coreProperties>
</file>